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38F5" w14:textId="7B5089D1" w:rsidR="00793D0B" w:rsidRPr="00793D0B" w:rsidRDefault="00793D0B" w:rsidP="00793D0B">
      <w:pPr>
        <w:jc w:val="right"/>
        <w:rPr>
          <w:rFonts w:ascii="Open Sans" w:hAnsi="Open Sans" w:cs="Open Sans"/>
          <w:b/>
          <w:bCs/>
          <w:color w:val="777777"/>
          <w:sz w:val="20"/>
          <w:szCs w:val="20"/>
          <w:shd w:val="clear" w:color="auto" w:fill="FFFFFF"/>
        </w:rPr>
      </w:pPr>
      <w:r w:rsidRPr="00793D0B">
        <w:rPr>
          <w:rFonts w:ascii="Open Sans" w:hAnsi="Open Sans" w:cs="Open Sans"/>
          <w:b/>
          <w:bCs/>
          <w:color w:val="777777"/>
          <w:sz w:val="20"/>
          <w:szCs w:val="20"/>
          <w:shd w:val="clear" w:color="auto" w:fill="FFFFFF"/>
        </w:rPr>
        <w:t>Proyectos, programas, líneas</w:t>
      </w:r>
    </w:p>
    <w:p w14:paraId="26DDEADE" w14:textId="3E74F961" w:rsidR="00793D0B" w:rsidRPr="0048728C" w:rsidRDefault="00793D0B" w:rsidP="0048728C">
      <w:pPr>
        <w:shd w:val="clear" w:color="auto" w:fill="0099CC"/>
        <w:rPr>
          <w:rFonts w:ascii="Open Sans" w:hAnsi="Open Sans" w:cs="Open Sans"/>
          <w:b/>
          <w:bCs/>
          <w:color w:val="777777"/>
          <w:sz w:val="24"/>
          <w:szCs w:val="24"/>
          <w:shd w:val="clear" w:color="auto" w:fill="FFFFFF"/>
        </w:rPr>
      </w:pPr>
      <w:r w:rsidRPr="0048728C">
        <w:rPr>
          <w:rFonts w:ascii="Open Sans" w:hAnsi="Open Sans" w:cs="Open Sans"/>
          <w:b/>
          <w:bCs/>
          <w:color w:val="777777"/>
          <w:sz w:val="24"/>
          <w:szCs w:val="24"/>
          <w:shd w:val="clear" w:color="auto" w:fill="FFFFFF"/>
        </w:rPr>
        <w:t xml:space="preserve">+ </w:t>
      </w:r>
      <w:r w:rsidR="00846D77">
        <w:rPr>
          <w:rFonts w:ascii="Open Sans" w:hAnsi="Open Sans" w:cs="Open Sans"/>
          <w:b/>
          <w:bCs/>
          <w:color w:val="777777"/>
          <w:sz w:val="24"/>
          <w:szCs w:val="24"/>
          <w:shd w:val="clear" w:color="auto" w:fill="FFFFFF"/>
        </w:rPr>
        <w:t>Informes Finales</w:t>
      </w:r>
    </w:p>
    <w:p w14:paraId="71A8F1D9" w14:textId="77777777" w:rsidR="004000E5" w:rsidRPr="004000E5" w:rsidRDefault="004000E5" w:rsidP="004000E5">
      <w:p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</w:pPr>
    </w:p>
    <w:p w14:paraId="07C809CF" w14:textId="35BFF3FE" w:rsidR="00846D77" w:rsidRDefault="00846D77" w:rsidP="004000E5">
      <w:p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</w:pPr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Vencido el plazo de ejecución de</w:t>
      </w:r>
      <w:r w:rsidR="004000E5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 </w:t>
      </w:r>
      <w:r w:rsidRPr="00846D77">
        <w:rPr>
          <w:rFonts w:ascii="inherit" w:eastAsia="Times New Roman" w:hAnsi="inherit" w:cs="Times New Roman"/>
          <w:i/>
          <w:iCs/>
          <w:color w:val="404040" w:themeColor="text1" w:themeTint="BF"/>
          <w:kern w:val="0"/>
          <w:sz w:val="23"/>
          <w:szCs w:val="23"/>
          <w:lang w:eastAsia="es-AR"/>
          <w14:ligatures w14:val="none"/>
        </w:rPr>
        <w:t>Proyecto</w:t>
      </w:r>
      <w:r w:rsidR="004000E5" w:rsidRPr="00600403">
        <w:rPr>
          <w:rFonts w:ascii="inherit" w:eastAsia="Times New Roman" w:hAnsi="inherit" w:cs="Times New Roman"/>
          <w:i/>
          <w:iCs/>
          <w:color w:val="404040" w:themeColor="text1" w:themeTint="BF"/>
          <w:kern w:val="0"/>
          <w:sz w:val="23"/>
          <w:szCs w:val="23"/>
          <w:lang w:eastAsia="es-AR"/>
          <w14:ligatures w14:val="none"/>
        </w:rPr>
        <w:t>s</w:t>
      </w:r>
      <w:r w:rsidRPr="00846D77">
        <w:rPr>
          <w:rFonts w:ascii="inherit" w:eastAsia="Times New Roman" w:hAnsi="inherit" w:cs="Times New Roman"/>
          <w:i/>
          <w:iCs/>
          <w:color w:val="404040" w:themeColor="text1" w:themeTint="BF"/>
          <w:kern w:val="0"/>
          <w:sz w:val="23"/>
          <w:szCs w:val="23"/>
          <w:lang w:eastAsia="es-AR"/>
          <w14:ligatures w14:val="none"/>
        </w:rPr>
        <w:t>, Programa</w:t>
      </w:r>
      <w:r w:rsidR="004000E5" w:rsidRPr="00600403">
        <w:rPr>
          <w:rFonts w:ascii="inherit" w:eastAsia="Times New Roman" w:hAnsi="inherit" w:cs="Times New Roman"/>
          <w:i/>
          <w:iCs/>
          <w:color w:val="404040" w:themeColor="text1" w:themeTint="BF"/>
          <w:kern w:val="0"/>
          <w:sz w:val="23"/>
          <w:szCs w:val="23"/>
          <w:lang w:eastAsia="es-AR"/>
          <w14:ligatures w14:val="none"/>
        </w:rPr>
        <w:t>s</w:t>
      </w:r>
      <w:r w:rsidRPr="00846D77">
        <w:rPr>
          <w:rFonts w:ascii="inherit" w:eastAsia="Times New Roman" w:hAnsi="inherit" w:cs="Times New Roman"/>
          <w:i/>
          <w:iCs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 o Línea</w:t>
      </w:r>
      <w:r w:rsidR="004000E5" w:rsidRPr="00600403">
        <w:rPr>
          <w:rFonts w:ascii="inherit" w:eastAsia="Times New Roman" w:hAnsi="inherit" w:cs="Times New Roman"/>
          <w:i/>
          <w:iCs/>
          <w:color w:val="404040" w:themeColor="text1" w:themeTint="BF"/>
          <w:kern w:val="0"/>
          <w:sz w:val="23"/>
          <w:szCs w:val="23"/>
          <w:lang w:eastAsia="es-AR"/>
          <w14:ligatures w14:val="none"/>
        </w:rPr>
        <w:t>s</w:t>
      </w:r>
      <w:r w:rsidRPr="00846D77">
        <w:rPr>
          <w:rFonts w:ascii="inherit" w:eastAsia="Times New Roman" w:hAnsi="inherit" w:cs="Times New Roman"/>
          <w:i/>
          <w:iCs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 de Investigación</w:t>
      </w:r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, el equipo deberá presentar </w:t>
      </w:r>
      <w:r w:rsidR="00600403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el </w:t>
      </w:r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Informe Final 12 meses posteriores a </w:t>
      </w:r>
      <w:r w:rsidR="00600403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su</w:t>
      </w:r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 finalización.</w:t>
      </w:r>
    </w:p>
    <w:p w14:paraId="1A96A1E6" w14:textId="38DB8679" w:rsidR="004000E5" w:rsidRDefault="00600403" w:rsidP="004000E5">
      <w:p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</w:pPr>
      <w:r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Actualmente</w:t>
      </w:r>
      <w:r w:rsidR="004000E5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, </w:t>
      </w:r>
      <w:r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nos encontramos </w:t>
      </w:r>
      <w:r w:rsidR="004000E5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culminando </w:t>
      </w:r>
      <w:r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con </w:t>
      </w:r>
      <w:r w:rsidR="004000E5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el proceso de evaluación de </w:t>
      </w:r>
      <w:r w:rsidR="004000E5" w:rsidRPr="00D11BF8">
        <w:rPr>
          <w:rFonts w:ascii="inherit" w:eastAsia="Times New Roman" w:hAnsi="inherit" w:cs="Times New Roman"/>
          <w:b/>
          <w:bCs/>
          <w:color w:val="404040" w:themeColor="text1" w:themeTint="BF"/>
          <w:kern w:val="0"/>
          <w:sz w:val="23"/>
          <w:szCs w:val="23"/>
          <w:u w:val="single"/>
          <w:lang w:eastAsia="es-AR"/>
          <w14:ligatures w14:val="none"/>
        </w:rPr>
        <w:t>informes finales 2022 y 2023</w:t>
      </w:r>
      <w:r w:rsidR="004000E5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, convocatoria que tuvo lugar </w:t>
      </w:r>
      <w:r w:rsidR="004B0474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en el año </w:t>
      </w:r>
      <w:r w:rsidR="004000E5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2025.</w:t>
      </w:r>
    </w:p>
    <w:p w14:paraId="7D95802C" w14:textId="77777777" w:rsidR="00C226FA" w:rsidRDefault="00D11BF8" w:rsidP="004000E5">
      <w:p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</w:pPr>
      <w:r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Esta Unidad Académica ha presentado un total de </w:t>
      </w:r>
      <w:r w:rsidR="00C226FA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25 IF 2022 (6 PID y 19 PPCT) y un total de 12 IF 2023 (todos PPCT).</w:t>
      </w:r>
    </w:p>
    <w:p w14:paraId="29FB4BD3" w14:textId="078111D3" w:rsidR="00D11BF8" w:rsidRPr="00846D77" w:rsidRDefault="00C226FA" w:rsidP="004000E5">
      <w:p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</w:pPr>
      <w:r>
        <w:rPr>
          <w:rFonts w:ascii="inherit" w:eastAsia="Times New Roman" w:hAnsi="inherit" w:cs="Times New Roman"/>
          <w:noProof/>
          <w:color w:val="000000" w:themeColor="text1"/>
          <w:kern w:val="0"/>
          <w:sz w:val="23"/>
          <w:szCs w:val="23"/>
          <w:lang w:eastAsia="es-AR"/>
        </w:rPr>
        <mc:AlternateContent>
          <mc:Choice Requires="cx1">
            <w:drawing>
              <wp:inline distT="0" distB="0" distL="0" distR="0" wp14:anchorId="30A732F8" wp14:editId="0F933F16">
                <wp:extent cx="5353050" cy="2667000"/>
                <wp:effectExtent l="0" t="0" r="0" b="0"/>
                <wp:docPr id="417876864" name="Gráfico 1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5"/>
                  </a:graphicData>
                </a:graphic>
              </wp:inline>
            </w:drawing>
          </mc:Choice>
          <mc:Fallback>
            <w:drawing>
              <wp:inline distT="0" distB="0" distL="0" distR="0" wp14:anchorId="30A732F8" wp14:editId="0F933F16">
                <wp:extent cx="5353050" cy="2667000"/>
                <wp:effectExtent l="0" t="0" r="0" b="0"/>
                <wp:docPr id="417876864" name="Gráfico 1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876864" name="Gráfico 1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3050" cy="266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02D0CD0" w14:textId="511453C0" w:rsidR="00846D77" w:rsidRPr="00600403" w:rsidRDefault="00846D77" w:rsidP="004000E5">
      <w:p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404040" w:themeColor="text1" w:themeTint="BF"/>
          <w:kern w:val="0"/>
          <w:sz w:val="23"/>
          <w:szCs w:val="23"/>
          <w:bdr w:val="none" w:sz="0" w:space="0" w:color="auto" w:frame="1"/>
          <w:lang w:eastAsia="es-AR"/>
          <w14:ligatures w14:val="none"/>
        </w:rPr>
      </w:pPr>
      <w:r w:rsidRPr="00846D77">
        <w:rPr>
          <w:rFonts w:ascii="inherit" w:eastAsia="Times New Roman" w:hAnsi="inherit" w:cs="Times New Roman"/>
          <w:b/>
          <w:bCs/>
          <w:color w:val="404040" w:themeColor="text1" w:themeTint="BF"/>
          <w:kern w:val="0"/>
          <w:sz w:val="23"/>
          <w:szCs w:val="23"/>
          <w:u w:val="single"/>
          <w:bdr w:val="none" w:sz="0" w:space="0" w:color="auto" w:frame="1"/>
          <w:lang w:eastAsia="es-AR"/>
          <w14:ligatures w14:val="none"/>
        </w:rPr>
        <w:t>Sobre el proceso de presentación del Informe</w:t>
      </w:r>
      <w:r w:rsidR="004000E5" w:rsidRPr="00600403">
        <w:rPr>
          <w:rFonts w:ascii="inherit" w:eastAsia="Times New Roman" w:hAnsi="inherit" w:cs="Times New Roman"/>
          <w:b/>
          <w:bCs/>
          <w:color w:val="404040" w:themeColor="text1" w:themeTint="BF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:</w:t>
      </w:r>
    </w:p>
    <w:p w14:paraId="7B514D64" w14:textId="33BB365C" w:rsidR="00846D77" w:rsidRPr="00846D77" w:rsidRDefault="00846D77" w:rsidP="004000E5">
      <w:p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</w:pPr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La convocatoria se tramita por </w:t>
      </w:r>
      <w:hyperlink r:id="rId7" w:history="1">
        <w:r w:rsidRPr="00846D77">
          <w:rPr>
            <w:rStyle w:val="Hipervnculo"/>
            <w:rFonts w:ascii="inherit" w:eastAsia="Times New Roman" w:hAnsi="inherit" w:cs="Times New Roman"/>
            <w:kern w:val="0"/>
            <w:sz w:val="23"/>
            <w:szCs w:val="23"/>
            <w:bdr w:val="none" w:sz="0" w:space="0" w:color="auto" w:frame="1"/>
            <w:lang w:eastAsia="es-AR"/>
            <w14:textFill>
              <w14:solidFill>
                <w14:srgbClr w14:val="0000FF">
                  <w14:lumMod w14:val="75000"/>
                  <w14:lumOff w14:val="25000"/>
                </w14:srgbClr>
              </w14:solidFill>
            </w14:textFill>
            <w14:ligatures w14:val="none"/>
          </w:rPr>
          <w:t>SIGEVA</w:t>
        </w:r>
        <w:r w:rsidRPr="00846D77">
          <w:rPr>
            <w:rStyle w:val="Hipervnculo"/>
            <w:rFonts w:ascii="inherit" w:eastAsia="Times New Roman" w:hAnsi="inherit" w:cs="Times New Roman"/>
            <w:kern w:val="0"/>
            <w:sz w:val="23"/>
            <w:szCs w:val="23"/>
            <w:lang w:eastAsia="es-AR"/>
            <w14:textFill>
              <w14:solidFill>
                <w14:srgbClr w14:val="0000FF">
                  <w14:lumMod w14:val="75000"/>
                  <w14:lumOff w14:val="25000"/>
                </w14:srgbClr>
              </w14:solidFill>
            </w14:textFill>
            <w14:ligatures w14:val="none"/>
          </w:rPr>
          <w:t>-UNR</w:t>
        </w:r>
      </w:hyperlink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 a través de formularios diseñados por la</w:t>
      </w:r>
      <w:r w:rsidR="004000E5" w:rsidRPr="004000E5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 </w:t>
      </w:r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Dirección de Promoción Científica</w:t>
      </w:r>
      <w:r w:rsidR="00600403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 de la UNR</w:t>
      </w:r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.</w:t>
      </w:r>
    </w:p>
    <w:p w14:paraId="0D1B2334" w14:textId="76BD7B19" w:rsidR="00600403" w:rsidRDefault="00846D77" w:rsidP="004000E5">
      <w:p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</w:pPr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Para completar </w:t>
      </w:r>
      <w:r w:rsidR="00600403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el</w:t>
      </w:r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 informe</w:t>
      </w:r>
      <w:r w:rsidR="00600403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,</w:t>
      </w:r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 </w:t>
      </w:r>
      <w:r w:rsidR="00600403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todos/as los/as miembros del equipo de investigación </w:t>
      </w:r>
      <w:r w:rsidRPr="00846D77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deben tener actualizado </w:t>
      </w:r>
      <w:r w:rsidR="00600403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sus antecedentes en SIGEVA (ingresando desde el rol </w:t>
      </w:r>
      <w:r w:rsidR="00600403" w:rsidRPr="00600403">
        <w:rPr>
          <w:rFonts w:ascii="inherit" w:eastAsia="Times New Roman" w:hAnsi="inherit" w:cs="Times New Roman"/>
          <w:i/>
          <w:iCs/>
          <w:color w:val="404040" w:themeColor="text1" w:themeTint="BF"/>
          <w:kern w:val="0"/>
          <w:sz w:val="23"/>
          <w:szCs w:val="23"/>
          <w:lang w:eastAsia="es-AR"/>
          <w14:ligatures w14:val="none"/>
        </w:rPr>
        <w:t>Usuario banco de datos de actividades de CyT</w:t>
      </w:r>
      <w:r w:rsidR="00600403" w:rsidRPr="00600403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)</w:t>
      </w:r>
      <w:r w:rsidR="00600403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.</w:t>
      </w:r>
    </w:p>
    <w:p w14:paraId="18DDEF08" w14:textId="6ADB6D66" w:rsidR="00846D77" w:rsidRPr="00846D77" w:rsidRDefault="00846D77" w:rsidP="004000E5">
      <w:p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</w:pPr>
      <w:r w:rsidRPr="00846D77">
        <w:rPr>
          <w:rFonts w:ascii="inherit" w:eastAsia="Times New Roman" w:hAnsi="inherit" w:cs="Times New Roman"/>
          <w:b/>
          <w:bCs/>
          <w:color w:val="404040" w:themeColor="text1" w:themeTint="BF"/>
          <w:kern w:val="0"/>
          <w:sz w:val="23"/>
          <w:szCs w:val="23"/>
          <w:u w:val="single"/>
          <w:bdr w:val="none" w:sz="0" w:space="0" w:color="auto" w:frame="1"/>
          <w:lang w:eastAsia="es-AR"/>
          <w14:ligatures w14:val="none"/>
        </w:rPr>
        <w:t>Documentos</w:t>
      </w:r>
      <w:r w:rsidR="004000E5" w:rsidRPr="00600403">
        <w:rPr>
          <w:rFonts w:ascii="inherit" w:eastAsia="Times New Roman" w:hAnsi="inherit" w:cs="Times New Roman"/>
          <w:b/>
          <w:bCs/>
          <w:color w:val="404040" w:themeColor="text1" w:themeTint="BF"/>
          <w:kern w:val="0"/>
          <w:sz w:val="23"/>
          <w:szCs w:val="23"/>
          <w:u w:val="single"/>
          <w:bdr w:val="none" w:sz="0" w:space="0" w:color="auto" w:frame="1"/>
          <w:lang w:eastAsia="es-AR"/>
          <w14:ligatures w14:val="none"/>
        </w:rPr>
        <w:t xml:space="preserve"> de interés</w:t>
      </w:r>
      <w:r w:rsidRPr="00846D77">
        <w:rPr>
          <w:rFonts w:ascii="inherit" w:eastAsia="Times New Roman" w:hAnsi="inherit" w:cs="Times New Roman"/>
          <w:b/>
          <w:bCs/>
          <w:color w:val="404040" w:themeColor="text1" w:themeTint="BF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:</w:t>
      </w:r>
    </w:p>
    <w:p w14:paraId="0CC695BB" w14:textId="2E6956CB" w:rsidR="004000E5" w:rsidRPr="004000E5" w:rsidRDefault="004000E5" w:rsidP="004000E5">
      <w:pPr>
        <w:pStyle w:val="Prrafodelista"/>
        <w:numPr>
          <w:ilvl w:val="0"/>
          <w:numId w:val="5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</w:pPr>
      <w:r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>Instructivo</w:t>
      </w:r>
      <w:r w:rsidR="00600403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  <w:t xml:space="preserve"> de carga</w:t>
      </w:r>
    </w:p>
    <w:p w14:paraId="27D16B6C" w14:textId="452F2475" w:rsidR="004000E5" w:rsidRPr="00600403" w:rsidRDefault="00600403" w:rsidP="004000E5">
      <w:pPr>
        <w:pStyle w:val="Prrafodelista"/>
        <w:numPr>
          <w:ilvl w:val="0"/>
          <w:numId w:val="5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lang w:eastAsia="es-AR"/>
          <w14:ligatures w14:val="none"/>
        </w:rPr>
      </w:pPr>
      <w:hyperlink r:id="rId8" w:tgtFrame="_blank" w:history="1">
        <w:r>
          <w:rPr>
            <w:rFonts w:ascii="inherit" w:eastAsia="Times New Roman" w:hAnsi="inherit" w:cs="Times New Roman"/>
            <w:color w:val="404040" w:themeColor="text1" w:themeTint="BF"/>
            <w:kern w:val="0"/>
            <w:sz w:val="23"/>
            <w:szCs w:val="23"/>
            <w:bdr w:val="none" w:sz="0" w:space="0" w:color="auto" w:frame="1"/>
            <w:lang w:eastAsia="es-AR"/>
            <w14:ligatures w14:val="none"/>
          </w:rPr>
          <w:t>F</w:t>
        </w:r>
        <w:r w:rsidR="004000E5">
          <w:rPr>
            <w:rFonts w:ascii="inherit" w:eastAsia="Times New Roman" w:hAnsi="inherit" w:cs="Times New Roman"/>
            <w:color w:val="404040" w:themeColor="text1" w:themeTint="BF"/>
            <w:kern w:val="0"/>
            <w:sz w:val="23"/>
            <w:szCs w:val="23"/>
            <w:bdr w:val="none" w:sz="0" w:space="0" w:color="auto" w:frame="1"/>
            <w:lang w:eastAsia="es-AR"/>
            <w14:ligatures w14:val="none"/>
          </w:rPr>
          <w:t>ormulario</w:t>
        </w:r>
      </w:hyperlink>
      <w:r w:rsidR="004000E5">
        <w:rPr>
          <w:rFonts w:ascii="inherit" w:eastAsia="Times New Roman" w:hAnsi="inherit" w:cs="Times New Roman"/>
          <w:color w:val="404040" w:themeColor="text1" w:themeTint="BF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 xml:space="preserve"> de Carga</w:t>
      </w:r>
    </w:p>
    <w:p w14:paraId="64C32DF6" w14:textId="0E68B87A" w:rsidR="00600403" w:rsidRPr="00600403" w:rsidRDefault="00600403" w:rsidP="00600403">
      <w:pPr>
        <w:shd w:val="clear" w:color="auto" w:fill="FFFFFF"/>
        <w:spacing w:before="120" w:after="12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404040" w:themeColor="text1" w:themeTint="BF"/>
          <w:kern w:val="0"/>
          <w:sz w:val="23"/>
          <w:szCs w:val="23"/>
          <w:lang w:eastAsia="es-AR"/>
          <w14:ligatures w14:val="none"/>
        </w:rPr>
      </w:pPr>
      <w:r w:rsidRPr="00600403">
        <w:rPr>
          <w:rFonts w:ascii="inherit" w:eastAsia="Times New Roman" w:hAnsi="inherit" w:cs="Times New Roman"/>
          <w:b/>
          <w:bCs/>
          <w:i/>
          <w:iCs/>
          <w:color w:val="404040" w:themeColor="text1" w:themeTint="BF"/>
          <w:kern w:val="0"/>
          <w:sz w:val="23"/>
          <w:szCs w:val="23"/>
          <w:lang w:eastAsia="es-AR"/>
          <w14:ligatures w14:val="none"/>
        </w:rPr>
        <w:t>La presentación y aprobación de los Informes Finales es requisito al momento de asignar subsidios UNR.</w:t>
      </w:r>
    </w:p>
    <w:sectPr w:rsidR="00600403" w:rsidRPr="00600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418"/>
    <w:multiLevelType w:val="hybridMultilevel"/>
    <w:tmpl w:val="2C2E3D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5C60"/>
    <w:multiLevelType w:val="hybridMultilevel"/>
    <w:tmpl w:val="466CF0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B752F"/>
    <w:multiLevelType w:val="multilevel"/>
    <w:tmpl w:val="A682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07D8D"/>
    <w:multiLevelType w:val="hybridMultilevel"/>
    <w:tmpl w:val="AB3ED706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66CE9"/>
    <w:multiLevelType w:val="hybridMultilevel"/>
    <w:tmpl w:val="FC54C644"/>
    <w:lvl w:ilvl="0" w:tplc="2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1113923">
    <w:abstractNumId w:val="4"/>
  </w:num>
  <w:num w:numId="2" w16cid:durableId="1688018747">
    <w:abstractNumId w:val="3"/>
  </w:num>
  <w:num w:numId="3" w16cid:durableId="2113895305">
    <w:abstractNumId w:val="0"/>
  </w:num>
  <w:num w:numId="4" w16cid:durableId="1789736518">
    <w:abstractNumId w:val="2"/>
  </w:num>
  <w:num w:numId="5" w16cid:durableId="130130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0B"/>
    <w:rsid w:val="000718AF"/>
    <w:rsid w:val="000A4658"/>
    <w:rsid w:val="000F0AB1"/>
    <w:rsid w:val="001A02C1"/>
    <w:rsid w:val="001B6D3A"/>
    <w:rsid w:val="001E545F"/>
    <w:rsid w:val="001E73F8"/>
    <w:rsid w:val="002D1308"/>
    <w:rsid w:val="002F5CED"/>
    <w:rsid w:val="003D0CF9"/>
    <w:rsid w:val="003D4E38"/>
    <w:rsid w:val="004000E5"/>
    <w:rsid w:val="0048728C"/>
    <w:rsid w:val="004B0474"/>
    <w:rsid w:val="004D35F9"/>
    <w:rsid w:val="004E572C"/>
    <w:rsid w:val="005D178F"/>
    <w:rsid w:val="005E5BAB"/>
    <w:rsid w:val="00600403"/>
    <w:rsid w:val="00726A95"/>
    <w:rsid w:val="00784EB9"/>
    <w:rsid w:val="00793D0B"/>
    <w:rsid w:val="00831E83"/>
    <w:rsid w:val="00846D77"/>
    <w:rsid w:val="008809D6"/>
    <w:rsid w:val="00890F78"/>
    <w:rsid w:val="008C1A0F"/>
    <w:rsid w:val="00960BF2"/>
    <w:rsid w:val="00984509"/>
    <w:rsid w:val="009B3B12"/>
    <w:rsid w:val="00A92670"/>
    <w:rsid w:val="00C226FA"/>
    <w:rsid w:val="00C54EB3"/>
    <w:rsid w:val="00D11BF8"/>
    <w:rsid w:val="00D62B96"/>
    <w:rsid w:val="00F23A63"/>
    <w:rsid w:val="00F3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C86E"/>
  <w15:chartTrackingRefBased/>
  <w15:docId w15:val="{00EF8CBD-512D-44AE-A530-F9D3F413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3D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E5BA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E73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73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73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73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73F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00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r.edu.ar/wp-content/uploads/2024/08/05-Formulario-Informes-finales-UNR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r.sigeva.gob.ar/auth/index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microsoft.com/office/2014/relationships/chartEx" Target="charts/chartEx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Hoja1!$A$2:$B$5</cx:f>
        <cx:lvl ptCount="4">
          <cx:pt idx="0">PID 2022</cx:pt>
          <cx:pt idx="1">PPCT 2022</cx:pt>
          <cx:pt idx="2">PID 2023</cx:pt>
          <cx:pt idx="3">PPCT 2023</cx:pt>
        </cx:lvl>
        <cx:lvl ptCount="4">
          <cx:pt idx="0">IF 2022</cx:pt>
          <cx:pt idx="1">IF 2022</cx:pt>
          <cx:pt idx="2">IF 2023</cx:pt>
          <cx:pt idx="3">IF 2023</cx:pt>
        </cx:lvl>
        <cx:lvl ptCount="0"/>
      </cx:strDim>
      <cx:numDim type="size">
        <cx:f>Hoja1!$C$2:$C$5</cx:f>
        <cx:lvl ptCount="4" formatCode="General">
          <cx:pt idx="0">6</cx:pt>
          <cx:pt idx="1">19</cx:pt>
          <cx:pt idx="2">0</cx:pt>
          <cx:pt idx="3">12</cx:pt>
        </cx:lvl>
      </cx:numDim>
    </cx:data>
  </cx:chartData>
  <cx:chart>
    <cx:plotArea>
      <cx:plotAreaRegion>
        <cx:series layoutId="sunburst" uniqueId="{70192BCB-EB93-4DB1-A347-97743287484C}">
          <cx:tx>
            <cx:txData>
              <cx:f>Hoja1!$C$1</cx:f>
              <cx:v>Serie1</cx:v>
            </cx:txData>
          </cx:tx>
          <cx:dataLabels pos="ctr"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b="1"/>
                </a:pPr>
                <a:endParaRPr lang="es-ES" sz="900" b="1" i="0" u="none" strike="noStrike" baseline="0">
                  <a:solidFill>
                    <a:sysClr val="window" lastClr="FFFFFF"/>
                  </a:solidFill>
                  <a:latin typeface="Calibri" panose="020F0502020204030204"/>
                </a:endParaRPr>
              </a:p>
            </cx:txPr>
            <cx:visibility seriesName="0" categoryName="1" value="1"/>
            <cx:separator>. </cx:separator>
          </cx:dataLabels>
          <cx:dataId val="0"/>
        </cx:series>
      </cx:plotAreaRegion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85">
  <cs:axisTitle>
    <cs:lnRef idx="0"/>
    <cs:fillRef idx="0"/>
    <cs:effectRef idx="0"/>
    <cs:fontRef idx="minor">
      <a:schemeClr val="tx2"/>
    </cs:fontRef>
    <cs:defRPr sz="9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2"/>
    </cs:fontRef>
    <cs:spPr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  <a:ln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2"/>
    </cs:fontRef>
    <cs:defRPr sz="9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2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2"/>
    </cs:fontRef>
    <cs:defRPr sz="1600" b="1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Compagnucci</dc:creator>
  <cp:keywords/>
  <dc:description/>
  <cp:lastModifiedBy>Natalia Compagnucci</cp:lastModifiedBy>
  <cp:revision>5</cp:revision>
  <cp:lastPrinted>2025-11-10T19:55:00Z</cp:lastPrinted>
  <dcterms:created xsi:type="dcterms:W3CDTF">2025-11-10T19:22:00Z</dcterms:created>
  <dcterms:modified xsi:type="dcterms:W3CDTF">2025-11-10T22:38:00Z</dcterms:modified>
</cp:coreProperties>
</file>